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b/>
          <w:color w:val="3C2D82"/>
          <w:sz w:val="33"/>
          <w:szCs w:val="33"/>
        </w:rPr>
      </w:pPr>
      <w:r>
        <w:rPr>
          <w:b/>
          <w:color w:val="3C2D82"/>
          <w:sz w:val="33"/>
          <w:szCs w:val="33"/>
        </w:rPr>
        <w:t xml:space="preserve">CACITA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-52803</wp:posOffset>
            </wp:positionV>
            <wp:extent cx="1756777" cy="626584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777" cy="62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421"/>
        <w:jc w:val="right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Certificat d’Anatomie, de Chirurgie Implantaire et 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2"/>
        <w:jc w:val="right"/>
        <w:rPr>
          <w:color w:val="3C2D82"/>
          <w:sz w:val="25"/>
          <w:szCs w:val="25"/>
        </w:rPr>
      </w:pPr>
      <w:proofErr w:type="gramStart"/>
      <w:r>
        <w:rPr>
          <w:color w:val="3C2D82"/>
          <w:sz w:val="25"/>
          <w:szCs w:val="25"/>
        </w:rPr>
        <w:t>des</w:t>
      </w:r>
      <w:proofErr w:type="gramEnd"/>
      <w:r>
        <w:rPr>
          <w:color w:val="3C2D82"/>
          <w:sz w:val="25"/>
          <w:szCs w:val="25"/>
        </w:rPr>
        <w:t xml:space="preserve"> Techniques Chirurgicales Avancées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31" w:lineRule="auto"/>
        <w:ind w:left="378" w:right="153" w:firstLine="10"/>
        <w:rPr>
          <w:color w:val="3A2F7E"/>
          <w:sz w:val="25"/>
          <w:szCs w:val="25"/>
        </w:rPr>
      </w:pPr>
      <w:r>
        <w:rPr>
          <w:color w:val="3A2F7E"/>
          <w:sz w:val="25"/>
          <w:szCs w:val="25"/>
        </w:rPr>
        <w:t xml:space="preserve">Le Certificat d’Anatomie de Chirurgie Implantaire et des Techniques </w:t>
      </w:r>
      <w:proofErr w:type="spellStart"/>
      <w:proofErr w:type="gramStart"/>
      <w:r>
        <w:rPr>
          <w:color w:val="3A2F7E"/>
          <w:sz w:val="25"/>
          <w:szCs w:val="25"/>
        </w:rPr>
        <w:t>Avançées</w:t>
      </w:r>
      <w:proofErr w:type="spellEnd"/>
      <w:r>
        <w:rPr>
          <w:color w:val="3A2F7E"/>
          <w:sz w:val="25"/>
          <w:szCs w:val="25"/>
        </w:rPr>
        <w:t xml:space="preserve">  (</w:t>
      </w:r>
      <w:proofErr w:type="gramEnd"/>
      <w:r>
        <w:rPr>
          <w:color w:val="3A2F7E"/>
          <w:sz w:val="25"/>
          <w:szCs w:val="25"/>
        </w:rPr>
        <w:t xml:space="preserve">C.A.C.I.T.A) est une formation sur deux modules traitant les techniques de comblements  sinusiens, des greffes osseuses autogènes et de la gestion des tissus mous autour des  implants.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31" w:lineRule="auto"/>
        <w:ind w:left="375" w:right="1016" w:firstLine="8"/>
        <w:rPr>
          <w:color w:val="3A2F7E"/>
          <w:sz w:val="25"/>
          <w:szCs w:val="25"/>
        </w:rPr>
      </w:pPr>
      <w:r>
        <w:rPr>
          <w:color w:val="3A2F7E"/>
          <w:sz w:val="25"/>
          <w:szCs w:val="25"/>
        </w:rPr>
        <w:t xml:space="preserve">Ce cycle se déroule chaque année est doit être validé par la réalisation d’une </w:t>
      </w:r>
      <w:proofErr w:type="gramStart"/>
      <w:r>
        <w:rPr>
          <w:color w:val="3A2F7E"/>
          <w:sz w:val="25"/>
          <w:szCs w:val="25"/>
        </w:rPr>
        <w:t>des  techniques</w:t>
      </w:r>
      <w:proofErr w:type="gramEnd"/>
      <w:r>
        <w:rPr>
          <w:color w:val="3A2F7E"/>
          <w:sz w:val="25"/>
          <w:szCs w:val="25"/>
        </w:rPr>
        <w:t xml:space="preserve"> enseignées.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0" w:line="229" w:lineRule="auto"/>
        <w:ind w:left="382" w:hanging="13"/>
        <w:rPr>
          <w:color w:val="3A2F7E"/>
          <w:sz w:val="33"/>
          <w:szCs w:val="33"/>
        </w:rPr>
      </w:pPr>
      <w:r>
        <w:rPr>
          <w:color w:val="3A2F7E"/>
          <w:sz w:val="33"/>
          <w:szCs w:val="33"/>
        </w:rPr>
        <w:t xml:space="preserve">A l’issue de la formation, vous serez capable de mettre en </w:t>
      </w:r>
      <w:proofErr w:type="spellStart"/>
      <w:proofErr w:type="gramStart"/>
      <w:r>
        <w:rPr>
          <w:color w:val="3A2F7E"/>
          <w:sz w:val="33"/>
          <w:szCs w:val="33"/>
        </w:rPr>
        <w:t>oeuvre</w:t>
      </w:r>
      <w:proofErr w:type="spellEnd"/>
      <w:r>
        <w:rPr>
          <w:color w:val="3A2F7E"/>
          <w:sz w:val="33"/>
          <w:szCs w:val="33"/>
        </w:rPr>
        <w:t xml:space="preserve">  les</w:t>
      </w:r>
      <w:proofErr w:type="gramEnd"/>
      <w:r>
        <w:rPr>
          <w:color w:val="3A2F7E"/>
          <w:sz w:val="33"/>
          <w:szCs w:val="33"/>
        </w:rPr>
        <w:t xml:space="preserve"> greffes sinusiennes et d’apposition osseuse et perfectionner vos  compétences en implantologie dentaire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6" w:line="462" w:lineRule="auto"/>
        <w:ind w:left="422" w:right="1435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Public cible </w:t>
      </w:r>
      <w:r>
        <w:rPr>
          <w:color w:val="3C2D82"/>
          <w:sz w:val="25"/>
          <w:szCs w:val="25"/>
        </w:rPr>
        <w:t xml:space="preserve">: </w:t>
      </w:r>
      <w:proofErr w:type="spellStart"/>
      <w:r>
        <w:rPr>
          <w:color w:val="3A2F7E"/>
          <w:sz w:val="25"/>
          <w:szCs w:val="25"/>
        </w:rPr>
        <w:t>Chirurgiens Dentistes</w:t>
      </w:r>
      <w:proofErr w:type="spellEnd"/>
      <w:r>
        <w:rPr>
          <w:color w:val="3A2F7E"/>
          <w:sz w:val="25"/>
          <w:szCs w:val="25"/>
        </w:rPr>
        <w:t xml:space="preserve"> - La formation est ouverte à tous les pays </w:t>
      </w:r>
      <w:r>
        <w:rPr>
          <w:b/>
          <w:color w:val="3C2D82"/>
          <w:sz w:val="25"/>
          <w:szCs w:val="25"/>
        </w:rPr>
        <w:t xml:space="preserve">Prérequis </w:t>
      </w:r>
      <w:r>
        <w:rPr>
          <w:color w:val="3C2D82"/>
          <w:sz w:val="25"/>
          <w:szCs w:val="25"/>
        </w:rPr>
        <w:t xml:space="preserve">: Avoir le niveau DU et une expérience de l’implantologie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31" w:lineRule="auto"/>
        <w:ind w:left="412" w:right="20" w:firstLine="10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Lieu de la formation </w:t>
      </w:r>
      <w:r>
        <w:rPr>
          <w:color w:val="3C2D82"/>
          <w:sz w:val="25"/>
          <w:szCs w:val="25"/>
        </w:rPr>
        <w:t xml:space="preserve">: RIIR - Institut Implantaire de Reims - pour les UV 1 et 2 et </w:t>
      </w:r>
      <w:proofErr w:type="gramStart"/>
      <w:r>
        <w:rPr>
          <w:color w:val="3C2D82"/>
          <w:sz w:val="25"/>
          <w:szCs w:val="25"/>
        </w:rPr>
        <w:t>la  présentation</w:t>
      </w:r>
      <w:proofErr w:type="gramEnd"/>
      <w:r>
        <w:rPr>
          <w:color w:val="3C2D82"/>
          <w:sz w:val="25"/>
          <w:szCs w:val="25"/>
        </w:rPr>
        <w:t xml:space="preserve"> du cas pratique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31" w:lineRule="auto"/>
        <w:ind w:left="420" w:right="206" w:firstLine="1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Méthode pédagogique </w:t>
      </w:r>
      <w:r>
        <w:rPr>
          <w:color w:val="3C2D82"/>
          <w:sz w:val="25"/>
          <w:szCs w:val="25"/>
        </w:rPr>
        <w:t xml:space="preserve">: La formation est constituée de modules théoriques, de </w:t>
      </w:r>
      <w:proofErr w:type="gramStart"/>
      <w:r>
        <w:rPr>
          <w:color w:val="3C2D82"/>
          <w:sz w:val="25"/>
          <w:szCs w:val="25"/>
        </w:rPr>
        <w:t>travaux  pratiques</w:t>
      </w:r>
      <w:proofErr w:type="gramEnd"/>
      <w:r>
        <w:rPr>
          <w:color w:val="3C2D82"/>
          <w:sz w:val="25"/>
          <w:szCs w:val="25"/>
        </w:rPr>
        <w:t xml:space="preserve">, et de chirurgies en direct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31" w:lineRule="auto"/>
        <w:ind w:left="412" w:right="1155" w:firstLine="9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Modalité d’évaluation </w:t>
      </w:r>
      <w:r>
        <w:rPr>
          <w:color w:val="3C2D82"/>
          <w:sz w:val="25"/>
          <w:szCs w:val="25"/>
        </w:rPr>
        <w:t xml:space="preserve">: Contrôle continu après chaque UV et présentation </w:t>
      </w:r>
      <w:proofErr w:type="gramStart"/>
      <w:r>
        <w:rPr>
          <w:color w:val="3C2D82"/>
          <w:sz w:val="25"/>
          <w:szCs w:val="25"/>
        </w:rPr>
        <w:t>d’un  diaporama</w:t>
      </w:r>
      <w:proofErr w:type="gramEnd"/>
      <w:r>
        <w:rPr>
          <w:color w:val="3C2D82"/>
          <w:sz w:val="25"/>
          <w:szCs w:val="25"/>
        </w:rPr>
        <w:t xml:space="preserve"> d’une intervention par l’étudiant, confirmée par un clip vidéo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409"/>
        <w:rPr>
          <w:color w:val="3A2F7E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Taux de recommandation </w:t>
      </w:r>
      <w:r>
        <w:rPr>
          <w:color w:val="3C2D82"/>
          <w:sz w:val="25"/>
          <w:szCs w:val="25"/>
        </w:rPr>
        <w:t xml:space="preserve">: </w:t>
      </w:r>
      <w:r>
        <w:rPr>
          <w:color w:val="3A2F7E"/>
          <w:sz w:val="25"/>
          <w:szCs w:val="25"/>
        </w:rPr>
        <w:t xml:space="preserve">En cours de construction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422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Durée </w:t>
      </w:r>
      <w:r>
        <w:rPr>
          <w:color w:val="3C2D82"/>
          <w:sz w:val="25"/>
          <w:szCs w:val="25"/>
        </w:rPr>
        <w:t xml:space="preserve">: 2 x 2 jours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421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Modalités d’inscription </w:t>
      </w:r>
      <w:r>
        <w:rPr>
          <w:color w:val="3C2D82"/>
          <w:sz w:val="25"/>
          <w:szCs w:val="25"/>
        </w:rPr>
        <w:t xml:space="preserve">: Dossier d’inscription à remplir sur le site 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0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https://www.sfbsi.com/formations/cacita/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2" w:lineRule="auto"/>
        <w:ind w:left="409" w:right="563" w:hanging="5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Attention : seulement 16 places par an - Inscriptions validées dans l’ordre d’inscription </w:t>
      </w:r>
      <w:r>
        <w:rPr>
          <w:b/>
          <w:color w:val="3C2D82"/>
          <w:sz w:val="25"/>
          <w:szCs w:val="25"/>
        </w:rPr>
        <w:t xml:space="preserve">Tarif </w:t>
      </w:r>
      <w:r>
        <w:rPr>
          <w:color w:val="3C2D82"/>
          <w:sz w:val="25"/>
          <w:szCs w:val="25"/>
        </w:rPr>
        <w:t xml:space="preserve">: 3230 € (dont 230€ de cotisation SFBSI)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422"/>
        <w:rPr>
          <w:color w:val="3A2F7E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Formateurs </w:t>
      </w:r>
      <w:r>
        <w:rPr>
          <w:color w:val="3C2D82"/>
          <w:sz w:val="25"/>
          <w:szCs w:val="25"/>
        </w:rPr>
        <w:t xml:space="preserve">: </w:t>
      </w:r>
      <w:r>
        <w:rPr>
          <w:color w:val="3A2F7E"/>
          <w:sz w:val="25"/>
          <w:szCs w:val="25"/>
        </w:rPr>
        <w:t>D</w:t>
      </w:r>
      <w:r w:rsidR="00E014D7">
        <w:rPr>
          <w:color w:val="3A2F7E"/>
          <w:sz w:val="25"/>
          <w:szCs w:val="25"/>
        </w:rPr>
        <w:t>r</w:t>
      </w:r>
      <w:r>
        <w:rPr>
          <w:color w:val="3A2F7E"/>
          <w:sz w:val="25"/>
          <w:szCs w:val="25"/>
        </w:rPr>
        <w:t xml:space="preserve"> Maxime Bouvard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31" w:lineRule="auto"/>
        <w:ind w:left="413" w:right="277" w:hanging="9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Accessibilité aux personnes en situation de handicap </w:t>
      </w:r>
      <w:r>
        <w:rPr>
          <w:color w:val="3C2D82"/>
          <w:sz w:val="25"/>
          <w:szCs w:val="25"/>
        </w:rPr>
        <w:t xml:space="preserve">: Possible dans la plupart </w:t>
      </w:r>
      <w:proofErr w:type="gramStart"/>
      <w:r>
        <w:rPr>
          <w:color w:val="3C2D82"/>
          <w:sz w:val="25"/>
          <w:szCs w:val="25"/>
        </w:rPr>
        <w:t>des  cas</w:t>
      </w:r>
      <w:proofErr w:type="gramEnd"/>
      <w:r>
        <w:rPr>
          <w:color w:val="3C2D82"/>
          <w:sz w:val="25"/>
          <w:szCs w:val="25"/>
        </w:rPr>
        <w:t xml:space="preserve">. Nous contacter.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462" w:lineRule="auto"/>
        <w:ind w:left="422" w:right="483" w:hanging="6"/>
        <w:rPr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Contact </w:t>
      </w:r>
      <w:r>
        <w:rPr>
          <w:color w:val="3C2D82"/>
          <w:sz w:val="25"/>
          <w:szCs w:val="25"/>
        </w:rPr>
        <w:t xml:space="preserve">: Mme Frédérique </w:t>
      </w:r>
      <w:proofErr w:type="spellStart"/>
      <w:r>
        <w:rPr>
          <w:color w:val="3C2D82"/>
          <w:sz w:val="25"/>
          <w:szCs w:val="25"/>
        </w:rPr>
        <w:t>Pécheux</w:t>
      </w:r>
      <w:proofErr w:type="spellEnd"/>
      <w:r>
        <w:rPr>
          <w:color w:val="3C2D82"/>
          <w:sz w:val="25"/>
          <w:szCs w:val="25"/>
        </w:rPr>
        <w:t xml:space="preserve"> - </w:t>
      </w:r>
      <w:r>
        <w:rPr>
          <w:color w:val="3C2D82"/>
          <w:sz w:val="25"/>
          <w:szCs w:val="25"/>
          <w:u w:val="single"/>
        </w:rPr>
        <w:t xml:space="preserve">implantologie.sfbsi@gmail.com </w:t>
      </w:r>
      <w:r>
        <w:rPr>
          <w:color w:val="3C2D82"/>
          <w:sz w:val="25"/>
          <w:szCs w:val="25"/>
        </w:rPr>
        <w:t xml:space="preserve">- 03 51 59 13 06 </w:t>
      </w:r>
      <w:r>
        <w:rPr>
          <w:b/>
          <w:color w:val="3C2D82"/>
          <w:sz w:val="25"/>
          <w:szCs w:val="25"/>
        </w:rPr>
        <w:t xml:space="preserve">Date de mise à jour </w:t>
      </w:r>
      <w:r>
        <w:rPr>
          <w:color w:val="3C2D82"/>
          <w:sz w:val="25"/>
          <w:szCs w:val="25"/>
        </w:rPr>
        <w:t>: 22 février 2023 - Tarif applicable pour la promotion 2024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b/>
          <w:color w:val="3C2D82"/>
          <w:sz w:val="33"/>
          <w:szCs w:val="33"/>
        </w:rPr>
      </w:pPr>
      <w:r>
        <w:rPr>
          <w:b/>
          <w:color w:val="3C2D82"/>
          <w:sz w:val="33"/>
          <w:szCs w:val="33"/>
        </w:rPr>
        <w:lastRenderedPageBreak/>
        <w:t xml:space="preserve">CACITA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-52803</wp:posOffset>
            </wp:positionV>
            <wp:extent cx="1756777" cy="626584"/>
            <wp:effectExtent l="0" t="0" r="0" b="0"/>
            <wp:wrapSquare wrapText="right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777" cy="62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421"/>
        <w:jc w:val="right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Certificat d’Anatomie, de Chirurgie Implantaire et 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2"/>
        <w:jc w:val="right"/>
        <w:rPr>
          <w:color w:val="3C2D82"/>
          <w:sz w:val="25"/>
          <w:szCs w:val="25"/>
        </w:rPr>
      </w:pPr>
      <w:proofErr w:type="gramStart"/>
      <w:r>
        <w:rPr>
          <w:color w:val="3C2D82"/>
          <w:sz w:val="25"/>
          <w:szCs w:val="25"/>
        </w:rPr>
        <w:t>des</w:t>
      </w:r>
      <w:proofErr w:type="gramEnd"/>
      <w:r>
        <w:rPr>
          <w:color w:val="3C2D82"/>
          <w:sz w:val="25"/>
          <w:szCs w:val="25"/>
        </w:rPr>
        <w:t xml:space="preserve"> Techniques Chirurgicales Avancées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6" w:line="240" w:lineRule="auto"/>
        <w:ind w:left="572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Le programme en détail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right="2695"/>
        <w:jc w:val="right"/>
        <w:rPr>
          <w:b/>
          <w:color w:val="3C2F83"/>
          <w:sz w:val="25"/>
          <w:szCs w:val="25"/>
        </w:rPr>
      </w:pPr>
      <w:r>
        <w:rPr>
          <w:b/>
          <w:color w:val="3C2F83"/>
          <w:sz w:val="25"/>
          <w:szCs w:val="25"/>
        </w:rPr>
        <w:t xml:space="preserve">UV 1 - Jeudi </w:t>
      </w:r>
      <w:r w:rsidR="00E014D7">
        <w:rPr>
          <w:b/>
          <w:color w:val="3C2F83"/>
          <w:sz w:val="25"/>
          <w:szCs w:val="25"/>
        </w:rPr>
        <w:t xml:space="preserve">07 </w:t>
      </w:r>
      <w:r>
        <w:rPr>
          <w:b/>
          <w:color w:val="3C2F83"/>
          <w:sz w:val="25"/>
          <w:szCs w:val="25"/>
        </w:rPr>
        <w:t xml:space="preserve">et Vendredi </w:t>
      </w:r>
      <w:r w:rsidR="00E014D7">
        <w:rPr>
          <w:b/>
          <w:color w:val="3C2F83"/>
          <w:sz w:val="25"/>
          <w:szCs w:val="25"/>
        </w:rPr>
        <w:t>08</w:t>
      </w:r>
      <w:r>
        <w:rPr>
          <w:b/>
          <w:color w:val="3C2F83"/>
          <w:sz w:val="25"/>
          <w:szCs w:val="25"/>
        </w:rPr>
        <w:t xml:space="preserve"> Mars 202</w:t>
      </w:r>
      <w:r w:rsidR="00E014D7">
        <w:rPr>
          <w:b/>
          <w:color w:val="3C2F83"/>
          <w:sz w:val="25"/>
          <w:szCs w:val="25"/>
        </w:rPr>
        <w:t>4</w:t>
      </w:r>
      <w:r>
        <w:rPr>
          <w:b/>
          <w:color w:val="3C2F83"/>
          <w:sz w:val="25"/>
          <w:szCs w:val="25"/>
        </w:rPr>
        <w:t xml:space="preserve">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Théorie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Anatomie du sinus maxillaire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Physiopathologie du sinus maxillaire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Limiter les complications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Améliorer les résultats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Matériaux de comblement </w:t>
      </w: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color w:val="3C2D82"/>
          <w:sz w:val="25"/>
          <w:szCs w:val="25"/>
        </w:rPr>
      </w:pP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Techniques chirurgicales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Volet latéral basculé et volet repositionné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Voie alvéolaire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Complications per et post-opératoires </w:t>
      </w: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color w:val="3C2D82"/>
          <w:sz w:val="25"/>
          <w:szCs w:val="25"/>
        </w:rPr>
      </w:pP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Travaux pratiques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Ostéotomie mécanique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Ostéotomie ultrasonore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Modèles de travaux pratiques : Œufs, maxillaires de porc </w:t>
      </w: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5"/>
        <w:rPr>
          <w:color w:val="3C2D82"/>
          <w:sz w:val="25"/>
          <w:szCs w:val="25"/>
        </w:rPr>
      </w:pP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5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Chirurgies en direct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641" w:right="1376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Sinus lift par voie </w:t>
      </w:r>
      <w:proofErr w:type="gramStart"/>
      <w:r>
        <w:rPr>
          <w:color w:val="3C2D82"/>
          <w:sz w:val="25"/>
          <w:szCs w:val="25"/>
        </w:rPr>
        <w:t>latérale:</w:t>
      </w:r>
      <w:proofErr w:type="gramEnd"/>
      <w:r>
        <w:rPr>
          <w:color w:val="3C2D82"/>
          <w:sz w:val="25"/>
          <w:szCs w:val="25"/>
        </w:rPr>
        <w:t xml:space="preserve"> technique de la charnière et volet repositionné </w:t>
      </w: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Sinus lift par voie alvéolaire: technique de Summers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right="2874"/>
        <w:jc w:val="right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UV 2 - Jeudi </w:t>
      </w:r>
      <w:r w:rsidR="00E014D7">
        <w:rPr>
          <w:b/>
          <w:color w:val="3C2D82"/>
          <w:sz w:val="25"/>
          <w:szCs w:val="25"/>
        </w:rPr>
        <w:t>06</w:t>
      </w:r>
      <w:r>
        <w:rPr>
          <w:b/>
          <w:color w:val="3C2D82"/>
          <w:sz w:val="25"/>
          <w:szCs w:val="25"/>
        </w:rPr>
        <w:t xml:space="preserve"> et Vendredi </w:t>
      </w:r>
      <w:r w:rsidR="00E014D7">
        <w:rPr>
          <w:b/>
          <w:color w:val="3C2D82"/>
          <w:sz w:val="25"/>
          <w:szCs w:val="25"/>
        </w:rPr>
        <w:t>07</w:t>
      </w:r>
      <w:r>
        <w:rPr>
          <w:b/>
          <w:color w:val="3C2D82"/>
          <w:sz w:val="25"/>
          <w:szCs w:val="25"/>
        </w:rPr>
        <w:t xml:space="preserve"> Juin 202</w:t>
      </w:r>
      <w:r w:rsidR="00E014D7">
        <w:rPr>
          <w:b/>
          <w:color w:val="3C2D82"/>
          <w:sz w:val="25"/>
          <w:szCs w:val="25"/>
        </w:rPr>
        <w:t>4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Théorie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641" w:right="355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Os </w:t>
      </w:r>
      <w:proofErr w:type="gramStart"/>
      <w:r>
        <w:rPr>
          <w:color w:val="3C2D82"/>
          <w:sz w:val="25"/>
          <w:szCs w:val="25"/>
        </w:rPr>
        <w:t>autogène:</w:t>
      </w:r>
      <w:proofErr w:type="gramEnd"/>
      <w:r>
        <w:rPr>
          <w:color w:val="3C2D82"/>
          <w:sz w:val="25"/>
          <w:szCs w:val="25"/>
        </w:rPr>
        <w:t xml:space="preserve"> anatomie des sites de prélèvements et techniques de prélèvements </w:t>
      </w: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Préparations des sites receveurs </w:t>
      </w:r>
    </w:p>
    <w:p w:rsidR="0037039C" w:rsidRDefault="00000000" w:rsidP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Greffes d’apposition et Bone </w:t>
      </w:r>
      <w:proofErr w:type="spellStart"/>
      <w:r>
        <w:rPr>
          <w:color w:val="3C2D82"/>
          <w:sz w:val="25"/>
          <w:szCs w:val="25"/>
        </w:rPr>
        <w:t>splitting</w:t>
      </w:r>
      <w:proofErr w:type="spellEnd"/>
      <w:r>
        <w:rPr>
          <w:color w:val="3C2D82"/>
          <w:sz w:val="25"/>
          <w:szCs w:val="25"/>
        </w:rPr>
        <w:t xml:space="preserve">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ROG avec membranes RPM et grilles YXOSS </w:t>
      </w: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color w:val="3C2D82"/>
          <w:sz w:val="25"/>
          <w:szCs w:val="25"/>
        </w:rPr>
      </w:pP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Travaux pratiques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left="641" w:right="730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Prélèvements mécanique et ultrasonore sur tête de lapin et mandibule de porc </w:t>
      </w: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Préparation du site receveur et du greffon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Pose du greffon, ostéosynthèse, </w:t>
      </w:r>
      <w:proofErr w:type="spellStart"/>
      <w:r>
        <w:rPr>
          <w:color w:val="3C2D82"/>
          <w:sz w:val="25"/>
          <w:szCs w:val="25"/>
        </w:rPr>
        <w:t>bone</w:t>
      </w:r>
      <w:proofErr w:type="spellEnd"/>
      <w:r>
        <w:rPr>
          <w:color w:val="3C2D82"/>
          <w:sz w:val="25"/>
          <w:szCs w:val="25"/>
        </w:rPr>
        <w:t xml:space="preserve"> </w:t>
      </w:r>
      <w:proofErr w:type="spellStart"/>
      <w:r>
        <w:rPr>
          <w:color w:val="3C2D82"/>
          <w:sz w:val="25"/>
          <w:szCs w:val="25"/>
        </w:rPr>
        <w:t>splitting</w:t>
      </w:r>
      <w:proofErr w:type="spellEnd"/>
      <w:r>
        <w:rPr>
          <w:color w:val="3C2D82"/>
          <w:sz w:val="25"/>
          <w:szCs w:val="25"/>
        </w:rPr>
        <w:t xml:space="preserve">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5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lastRenderedPageBreak/>
        <w:t xml:space="preserve">Chirurgies en direct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Greffes d’apposition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Prélèvement symphysaire </w:t>
      </w:r>
    </w:p>
    <w:p w:rsidR="00E014D7" w:rsidRDefault="00000000" w:rsidP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Prélèvement </w:t>
      </w:r>
      <w:proofErr w:type="spellStart"/>
      <w:r>
        <w:rPr>
          <w:color w:val="3C2D82"/>
          <w:sz w:val="25"/>
          <w:szCs w:val="25"/>
        </w:rPr>
        <w:t>ramique</w:t>
      </w:r>
      <w:proofErr w:type="spellEnd"/>
      <w:r>
        <w:rPr>
          <w:color w:val="3C2D82"/>
          <w:sz w:val="25"/>
          <w:szCs w:val="25"/>
        </w:rPr>
        <w:t xml:space="preserve"> </w:t>
      </w:r>
    </w:p>
    <w:p w:rsidR="00E014D7" w:rsidRDefault="00E014D7" w:rsidP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505050"/>
          <w:sz w:val="31"/>
          <w:szCs w:val="31"/>
        </w:rPr>
        <w:t xml:space="preserve">  </w:t>
      </w:r>
      <w:r>
        <w:rPr>
          <w:rFonts w:ascii="Poppins" w:eastAsia="Poppins" w:hAnsi="Poppins" w:cs="Poppins"/>
          <w:color w:val="505050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ROG étendue </w:t>
      </w:r>
    </w:p>
    <w:p w:rsidR="00E014D7" w:rsidRDefault="00E014D7" w:rsidP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</w:p>
    <w:p w:rsidR="00E014D7" w:rsidRDefault="00E014D7" w:rsidP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E014D7" w:rsidRDefault="00E014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rFonts w:ascii="Poppins" w:eastAsia="Poppins" w:hAnsi="Poppins" w:cs="Poppins"/>
          <w:color w:val="505050"/>
          <w:sz w:val="31"/>
          <w:szCs w:val="31"/>
        </w:rPr>
      </w:pP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jc w:val="center"/>
        <w:rPr>
          <w:b/>
          <w:color w:val="3C2D82"/>
          <w:sz w:val="33"/>
          <w:szCs w:val="33"/>
        </w:rPr>
      </w:pPr>
      <w:r>
        <w:rPr>
          <w:b/>
          <w:color w:val="3C2D82"/>
          <w:sz w:val="33"/>
          <w:szCs w:val="33"/>
        </w:rPr>
        <w:lastRenderedPageBreak/>
        <w:t xml:space="preserve">CACITA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-52803</wp:posOffset>
            </wp:positionV>
            <wp:extent cx="1756777" cy="626584"/>
            <wp:effectExtent l="0" t="0" r="0" b="0"/>
            <wp:wrapSquare wrapText="right" distT="19050" distB="19050" distL="19050" distR="1905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777" cy="626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421"/>
        <w:jc w:val="right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Certificat d’Anatomie, de Chirurgie Implantaire et 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2"/>
        <w:jc w:val="right"/>
        <w:rPr>
          <w:color w:val="3C2D82"/>
          <w:sz w:val="25"/>
          <w:szCs w:val="25"/>
        </w:rPr>
      </w:pPr>
      <w:proofErr w:type="gramStart"/>
      <w:r>
        <w:rPr>
          <w:color w:val="3C2D82"/>
          <w:sz w:val="25"/>
          <w:szCs w:val="25"/>
        </w:rPr>
        <w:t>des</w:t>
      </w:r>
      <w:proofErr w:type="gramEnd"/>
      <w:r>
        <w:rPr>
          <w:color w:val="3C2D82"/>
          <w:sz w:val="25"/>
          <w:szCs w:val="25"/>
        </w:rPr>
        <w:t xml:space="preserve"> Techniques Chirurgicales Avancées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4" w:line="240" w:lineRule="auto"/>
        <w:ind w:left="571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MATÉRIEL À APPORTER POUR LES TP :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FFFFFF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Blouse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FFFFFF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Gants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FFFFFF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Bistouris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FFFFFF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Décolleurs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FFFFFF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Fraises à os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FFFFFF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Pièce à main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FFFFFF"/>
          <w:sz w:val="31"/>
          <w:szCs w:val="31"/>
        </w:rPr>
        <w:t xml:space="preserve">• </w:t>
      </w:r>
      <w:proofErr w:type="spellStart"/>
      <w:r>
        <w:rPr>
          <w:color w:val="3C2D82"/>
          <w:sz w:val="25"/>
          <w:szCs w:val="25"/>
        </w:rPr>
        <w:t>Contre-angle</w:t>
      </w:r>
      <w:proofErr w:type="spellEnd"/>
      <w:r>
        <w:rPr>
          <w:color w:val="3C2D82"/>
          <w:sz w:val="25"/>
          <w:szCs w:val="25"/>
        </w:rPr>
        <w:t xml:space="preserve"> bague rouge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FFFFFF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Fraises boules diamant sur </w:t>
      </w:r>
      <w:proofErr w:type="spellStart"/>
      <w:r>
        <w:rPr>
          <w:color w:val="3C2D82"/>
          <w:sz w:val="25"/>
          <w:szCs w:val="25"/>
        </w:rPr>
        <w:t>contre-angle</w:t>
      </w:r>
      <w:proofErr w:type="spellEnd"/>
      <w:r>
        <w:rPr>
          <w:color w:val="3C2D82"/>
          <w:sz w:val="25"/>
          <w:szCs w:val="25"/>
        </w:rPr>
        <w:t xml:space="preserve"> diamètre 1mm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41"/>
        <w:rPr>
          <w:color w:val="3C2D82"/>
          <w:sz w:val="25"/>
          <w:szCs w:val="25"/>
        </w:rPr>
      </w:pPr>
      <w:r>
        <w:rPr>
          <w:rFonts w:ascii="Poppins" w:eastAsia="Poppins" w:hAnsi="Poppins" w:cs="Poppins"/>
          <w:color w:val="FFFFFF"/>
          <w:sz w:val="31"/>
          <w:szCs w:val="31"/>
        </w:rPr>
        <w:t xml:space="preserve">• </w:t>
      </w:r>
      <w:r>
        <w:rPr>
          <w:color w:val="3C2D82"/>
          <w:sz w:val="25"/>
          <w:szCs w:val="25"/>
        </w:rPr>
        <w:t xml:space="preserve">Aides optiques optionnelles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40" w:lineRule="auto"/>
        <w:ind w:left="572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Lieu de la formation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5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Cabinet du Dr </w:t>
      </w:r>
      <w:r w:rsidR="00E014D7">
        <w:rPr>
          <w:color w:val="3C2D82"/>
          <w:sz w:val="25"/>
          <w:szCs w:val="25"/>
        </w:rPr>
        <w:t>Maxime BOUVART</w:t>
      </w:r>
      <w:r>
        <w:rPr>
          <w:color w:val="3C2D82"/>
          <w:sz w:val="25"/>
          <w:szCs w:val="25"/>
        </w:rPr>
        <w:t xml:space="preserve">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3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RIIR – Institut Implantaire de Reims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3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9 rue Saint-Symphorien, 51100 REIMS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3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03 26 40 24 26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1"/>
        <w:rPr>
          <w:b/>
          <w:color w:val="3C2D82"/>
          <w:sz w:val="25"/>
          <w:szCs w:val="25"/>
        </w:rPr>
      </w:pPr>
      <w:r>
        <w:rPr>
          <w:b/>
          <w:color w:val="3C2D82"/>
          <w:sz w:val="25"/>
          <w:szCs w:val="25"/>
        </w:rPr>
        <w:t xml:space="preserve">Horaires de la formation </w:t>
      </w:r>
    </w:p>
    <w:p w:rsidR="0037039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72"/>
        <w:rPr>
          <w:color w:val="3C2D82"/>
          <w:sz w:val="25"/>
          <w:szCs w:val="25"/>
        </w:rPr>
      </w:pPr>
      <w:r>
        <w:rPr>
          <w:color w:val="3C2D82"/>
          <w:sz w:val="25"/>
          <w:szCs w:val="25"/>
        </w:rPr>
        <w:t xml:space="preserve">De 9h00 à 12h00 et de 14h00 à 18h00. </w:t>
      </w:r>
    </w:p>
    <w:sectPr w:rsidR="0037039C">
      <w:pgSz w:w="11900" w:h="16840"/>
      <w:pgMar w:top="383" w:right="805" w:bottom="1378" w:left="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9C"/>
    <w:rsid w:val="0037039C"/>
    <w:rsid w:val="00E0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AA1D5"/>
  <w15:docId w15:val="{C753EDD8-14D5-F34A-A5F7-84B95D2E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 Basset</cp:lastModifiedBy>
  <cp:revision>2</cp:revision>
  <dcterms:created xsi:type="dcterms:W3CDTF">2024-01-24T18:12:00Z</dcterms:created>
  <dcterms:modified xsi:type="dcterms:W3CDTF">2024-01-24T18:12:00Z</dcterms:modified>
</cp:coreProperties>
</file>